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1618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u w:val="single"/>
          <w:lang w:val="en-US"/>
        </w:rPr>
      </w:pPr>
      <w:r w:rsidRPr="0019062F">
        <w:rPr>
          <w:rFonts w:ascii="Roboto-Regular" w:hAnsi="Roboto-Regular" w:cs="Roboto-Regular"/>
          <w:sz w:val="20"/>
          <w:szCs w:val="20"/>
          <w:u w:val="single"/>
          <w:lang w:val="en-US"/>
        </w:rPr>
        <w:t>Treasurers role in IDEA – EC</w:t>
      </w:r>
    </w:p>
    <w:p w14:paraId="2E39822B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Roboto-Regular" w:hAnsi="Roboto-Regular" w:cs="Roboto-Regular"/>
          <w:sz w:val="20"/>
          <w:szCs w:val="20"/>
          <w:lang w:val="en-US"/>
        </w:rPr>
        <w:t>Article 32 identifies the role ofThe Treasurer shall:</w:t>
      </w:r>
    </w:p>
    <w:p w14:paraId="6F437160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Helvetica" w:hAnsi="Helvetica" w:cs="Helvetica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be a legal signatory for IDEA’s bank account;</w:t>
      </w:r>
    </w:p>
    <w:p w14:paraId="09617434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Helvetica" w:hAnsi="Helvetica" w:cs="Helvetica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keep the records of IDEA's accounts and provide the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Executive with accurate and up-to-date reports of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IDEA's financial position;</w:t>
      </w:r>
    </w:p>
    <w:p w14:paraId="7AB399F9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Helvetica" w:hAnsi="Helvetica" w:cs="Helvetica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prepare and present to the Executive Committee and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the General Council a budget for each calendar year,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which shall include the determination of the member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fees;</w:t>
      </w:r>
    </w:p>
    <w:p w14:paraId="5726D04E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Helvetica" w:hAnsi="Helvetica" w:cs="Helvetica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inform each member of the fee levels for each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calendar year, collect all fees, and send reminders,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accounts and invoices as necessary;</w:t>
      </w:r>
    </w:p>
    <w:p w14:paraId="07121B14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Helvetica" w:hAnsi="Helvetica" w:cs="Helvetica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liaise with the Accountancy Committee;</w:t>
      </w:r>
    </w:p>
    <w:p w14:paraId="5CA58077" w14:textId="77777777" w:rsidR="002F121A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 w:rsidRPr="0019062F">
        <w:rPr>
          <w:rFonts w:ascii="Helvetica" w:hAnsi="Helvetica" w:cs="Helvetica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coordinate fund raising activities of IDEA with the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sz w:val="20"/>
          <w:szCs w:val="20"/>
          <w:lang w:val="en-US"/>
        </w:rPr>
        <w:t>appropriate officers.</w:t>
      </w:r>
    </w:p>
    <w:p w14:paraId="543E49E5" w14:textId="77777777" w:rsid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</w:p>
    <w:p w14:paraId="74A5A8E9" w14:textId="77777777" w:rsid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u w:val="single"/>
          <w:lang w:val="en-US"/>
        </w:rPr>
      </w:pPr>
      <w:r w:rsidRPr="0019062F">
        <w:rPr>
          <w:rFonts w:ascii="Roboto-Regular" w:hAnsi="Roboto-Regular" w:cs="Roboto-Regular"/>
          <w:sz w:val="20"/>
          <w:szCs w:val="20"/>
          <w:u w:val="single"/>
          <w:lang w:val="en-US"/>
        </w:rPr>
        <w:t>Comment from Joachim Reiss and his experience 2017 to 2020</w:t>
      </w:r>
      <w:r>
        <w:rPr>
          <w:rFonts w:ascii="Roboto-Regular" w:hAnsi="Roboto-Regular" w:cs="Roboto-Regular"/>
          <w:sz w:val="20"/>
          <w:szCs w:val="20"/>
          <w:u w:val="single"/>
          <w:lang w:val="en-US"/>
        </w:rPr>
        <w:t>:</w:t>
      </w:r>
    </w:p>
    <w:p w14:paraId="124DE0DE" w14:textId="77777777" w:rsid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>
        <w:rPr>
          <w:rFonts w:ascii="Roboto-Regular" w:hAnsi="Roboto-Regular" w:cs="Roboto-Regular"/>
          <w:sz w:val="20"/>
          <w:szCs w:val="20"/>
          <w:lang w:val="en-US"/>
        </w:rPr>
        <w:t xml:space="preserve">Before 2020 I was the only legal signatory for IDEAs bank account. The new bank account in Portugal has 4 legal signatorys and every payment from this account has additionally </w:t>
      </w:r>
      <w:r w:rsidR="00E3437B">
        <w:rPr>
          <w:rFonts w:ascii="Roboto-Regular" w:hAnsi="Roboto-Regular" w:cs="Roboto-Regular"/>
          <w:sz w:val="20"/>
          <w:szCs w:val="20"/>
          <w:lang w:val="en-US"/>
        </w:rPr>
        <w:t xml:space="preserve">to be 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signed by EC-president. This makes things more complicated and the treasurer doesn’t have the full control, </w:t>
      </w:r>
      <w:r w:rsidR="00E3437B">
        <w:rPr>
          <w:rFonts w:ascii="Roboto-Regular" w:hAnsi="Roboto-Regular" w:cs="Roboto-Regular"/>
          <w:sz w:val="20"/>
          <w:szCs w:val="20"/>
          <w:lang w:val="en-US"/>
        </w:rPr>
        <w:t>even though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 he is still full responsible for IDEA’s members money and account. </w:t>
      </w:r>
    </w:p>
    <w:p w14:paraId="50B85F9E" w14:textId="77777777" w:rsidR="007456D2" w:rsidRDefault="007456D2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>
        <w:rPr>
          <w:rFonts w:ascii="Roboto-Regular" w:hAnsi="Roboto-Regular" w:cs="Roboto-Regular"/>
          <w:sz w:val="20"/>
          <w:szCs w:val="20"/>
          <w:lang w:val="en-US"/>
        </w:rPr>
        <w:t xml:space="preserve">Important part of treasurers work is informing the EC about members applications (f.i. reduced fee) and ask for their decision about </w:t>
      </w:r>
      <w:r w:rsidR="00E3437B">
        <w:rPr>
          <w:rFonts w:ascii="Roboto-Regular" w:hAnsi="Roboto-Regular" w:cs="Roboto-Regular"/>
          <w:sz w:val="20"/>
          <w:szCs w:val="20"/>
          <w:lang w:val="en-US"/>
        </w:rPr>
        <w:t xml:space="preserve">all sorts of 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expenses. This happened not often in the last years. </w:t>
      </w:r>
    </w:p>
    <w:p w14:paraId="4C39085D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  <w:r>
        <w:rPr>
          <w:rFonts w:ascii="Roboto-Regular" w:hAnsi="Roboto-Regular" w:cs="Roboto-Regular"/>
          <w:sz w:val="20"/>
          <w:szCs w:val="20"/>
          <w:lang w:val="en-US"/>
        </w:rPr>
        <w:t xml:space="preserve">All points in constitution Article 32 were not complicated, but much timetaking “bureaucratic” work. </w:t>
      </w:r>
      <w:r>
        <w:rPr>
          <w:rFonts w:ascii="Roboto-Regular" w:hAnsi="Roboto-Regular" w:cs="Roboto-Regular"/>
          <w:sz w:val="20"/>
          <w:szCs w:val="20"/>
          <w:lang w:val="en-US"/>
        </w:rPr>
        <w:br/>
        <w:t xml:space="preserve">The last point </w:t>
      </w:r>
      <w:r w:rsidR="007456D2">
        <w:rPr>
          <w:rFonts w:ascii="Roboto-Regular" w:hAnsi="Roboto-Regular" w:cs="Roboto-Regular"/>
          <w:sz w:val="20"/>
          <w:szCs w:val="20"/>
          <w:lang w:val="en-US"/>
        </w:rPr>
        <w:t xml:space="preserve">(see above) </w:t>
      </w:r>
      <w:r>
        <w:rPr>
          <w:rFonts w:ascii="Roboto-Regular" w:hAnsi="Roboto-Regular" w:cs="Roboto-Regular"/>
          <w:sz w:val="20"/>
          <w:szCs w:val="20"/>
          <w:lang w:val="en-US"/>
        </w:rPr>
        <w:t xml:space="preserve">is only of interest, if somebody in IDEA asks for </w:t>
      </w:r>
      <w:r w:rsidR="007456D2">
        <w:rPr>
          <w:rFonts w:ascii="Roboto-Regular" w:hAnsi="Roboto-Regular" w:cs="Roboto-Regular"/>
          <w:sz w:val="20"/>
          <w:szCs w:val="20"/>
          <w:lang w:val="en-US"/>
        </w:rPr>
        <w:t xml:space="preserve">fundraising-cooperation, this was not the case in the last years. </w:t>
      </w:r>
    </w:p>
    <w:p w14:paraId="4302BB11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lang w:val="en-US"/>
        </w:rPr>
      </w:pPr>
    </w:p>
    <w:p w14:paraId="5ACF4880" w14:textId="77777777" w:rsidR="0019062F" w:rsidRPr="0019062F" w:rsidRDefault="007456D2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7456D2">
        <w:rPr>
          <w:rFonts w:ascii="Roboto-Italic" w:hAnsi="Roboto-Italic" w:cs="Roboto-Italic"/>
          <w:iCs/>
          <w:color w:val="000000"/>
          <w:sz w:val="20"/>
          <w:szCs w:val="20"/>
          <w:u w:val="single"/>
          <w:lang w:val="en-US"/>
        </w:rPr>
        <w:t xml:space="preserve">Additions in the IDEA Operational Manual: </w:t>
      </w:r>
      <w:r w:rsidRPr="007456D2">
        <w:rPr>
          <w:rFonts w:ascii="Roboto-Italic" w:hAnsi="Roboto-Italic" w:cs="Roboto-Italic"/>
          <w:iCs/>
          <w:color w:val="000000"/>
          <w:sz w:val="20"/>
          <w:szCs w:val="20"/>
          <w:u w:val="single"/>
          <w:lang w:val="en-US"/>
        </w:rPr>
        <w:br/>
      </w:r>
      <w:r w:rsidR="0019062F"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In practice this means: the Treasurer</w:t>
      </w:r>
    </w:p>
    <w:p w14:paraId="5D1D41B9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AvenirNext-BoldItalic" w:hAnsi="AvenirNext-BoldItalic" w:cs="AvenirNext-BoldItalic"/>
          <w:b/>
          <w:bCs/>
          <w:i/>
          <w:iCs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Membership: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In collaboration with the IDEA Secretary and IDEA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Administrator, sends annual subscription invoices/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reminders to members; including follow ups</w:t>
      </w:r>
    </w:p>
    <w:p w14:paraId="466F2D46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Collects/records subscription/fee payments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(including payments made in cash and via bank</w:t>
      </w:r>
    </w:p>
    <w:p w14:paraId="3228B2D1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transfer or other means) from members and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communicates with IDEA Secretary and IDEA</w:t>
      </w:r>
    </w:p>
    <w:p w14:paraId="5E60D457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Administrator when membership is paid</w:t>
      </w:r>
    </w:p>
    <w:p w14:paraId="43BEF455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Manages requests for financial relief from members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who cannot pay the full amount. (Everyone must</w:t>
      </w:r>
    </w:p>
    <w:p w14:paraId="0FB03BD8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pay something.)</w:t>
      </w:r>
    </w:p>
    <w:p w14:paraId="76F49493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Other income</w:t>
      </w:r>
      <w:r w:rsidR="007456D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: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Manages funds from grants/fundraising/bank interest/donations/congress/publications/ projects/etc.</w:t>
      </w:r>
    </w:p>
    <w:p w14:paraId="1FF4B3B4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Budgeting: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Leads the budgeting of IDEA (in consultation with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other Elected Officers)</w:t>
      </w:r>
    </w:p>
    <w:p w14:paraId="099ED43D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Banking: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sets up the IDEA banking arrangements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and manages other streams of income</w:t>
      </w:r>
      <w:r w:rsidR="008D1EB7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e.g.internet payments (e.g. PayPal), through webpage</w:t>
      </w:r>
    </w:p>
    <w:p w14:paraId="2D40E574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Auditing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: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Prepares quarterly summaries of income and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expenditure</w:t>
      </w:r>
    </w:p>
    <w:p w14:paraId="2DAF5CF2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Advises overruns and under expenditure to Elected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Officers</w:t>
      </w:r>
    </w:p>
    <w:p w14:paraId="3B8D8688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Monitors annual expenditure of budget (in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conjunction with the Accountancy Committee)</w:t>
      </w:r>
    </w:p>
    <w:p w14:paraId="3F6EE859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Fundraising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: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Prepares submissions for identified sources of funding</w:t>
      </w:r>
      <w:r w:rsidR="007456D2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for IDEA</w:t>
      </w:r>
    </w:p>
    <w:p w14:paraId="1CD4691D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Italic" w:hAnsi="Roboto-Italic" w:cs="Roboto-Italic"/>
          <w:i/>
          <w:iCs/>
          <w:color w:val="000000"/>
          <w:sz w:val="20"/>
          <w:szCs w:val="20"/>
          <w:lang w:val="en-US"/>
        </w:rPr>
        <w:t>Acquits funds raised and reports</w:t>
      </w:r>
    </w:p>
    <w:p w14:paraId="1BD13BA7" w14:textId="77777777" w:rsidR="007456D2" w:rsidRDefault="007456D2" w:rsidP="0019062F">
      <w:pPr>
        <w:autoSpaceDE w:val="0"/>
        <w:autoSpaceDN w:val="0"/>
        <w:adjustRightInd w:val="0"/>
        <w:spacing w:after="0" w:line="240" w:lineRule="auto"/>
        <w:rPr>
          <w:rFonts w:ascii="RobotoCondensed-Light" w:hAnsi="RobotoCondensed-Light" w:cs="RobotoCondensed-Light"/>
          <w:color w:val="FF2600"/>
          <w:sz w:val="18"/>
          <w:szCs w:val="18"/>
          <w:lang w:val="en-US"/>
        </w:rPr>
      </w:pPr>
    </w:p>
    <w:p w14:paraId="44EA3F66" w14:textId="77777777" w:rsidR="0019062F" w:rsidRPr="007456D2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  <w:u w:val="single"/>
          <w:lang w:val="en-US"/>
        </w:rPr>
      </w:pPr>
      <w:r w:rsidRPr="007456D2">
        <w:rPr>
          <w:rFonts w:ascii="Roboto-Regular" w:hAnsi="Roboto-Regular" w:cs="Roboto-Regular"/>
          <w:color w:val="000000"/>
          <w:sz w:val="20"/>
          <w:szCs w:val="20"/>
          <w:u w:val="single"/>
          <w:lang w:val="en-US"/>
        </w:rPr>
        <w:t>Forms that the IDEA Treasurer uses:</w:t>
      </w:r>
    </w:p>
    <w:p w14:paraId="698EFBB4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color w:val="000000"/>
          <w:sz w:val="20"/>
          <w:szCs w:val="20"/>
          <w:lang w:val="en-US"/>
        </w:rPr>
        <w:t>IDEA call for subscriptions/invoice</w:t>
      </w:r>
    </w:p>
    <w:p w14:paraId="2D5B0574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color w:val="000000"/>
          <w:sz w:val="20"/>
          <w:szCs w:val="20"/>
          <w:lang w:val="en-US"/>
        </w:rPr>
        <w:t>IDEA acknowledgement of receipt of payment of</w:t>
      </w:r>
      <w:r w:rsidR="007456D2">
        <w:rPr>
          <w:rFonts w:ascii="Roboto-Regular" w:hAnsi="Roboto-Regular" w:cs="Roboto-Regular"/>
          <w:color w:val="000000"/>
          <w:sz w:val="20"/>
          <w:szCs w:val="20"/>
          <w:lang w:val="en-US"/>
        </w:rPr>
        <w:t xml:space="preserve"> </w:t>
      </w:r>
      <w:r w:rsidRPr="0019062F">
        <w:rPr>
          <w:rFonts w:ascii="Roboto-Regular" w:hAnsi="Roboto-Regular" w:cs="Roboto-Regular"/>
          <w:color w:val="000000"/>
          <w:sz w:val="20"/>
          <w:szCs w:val="20"/>
          <w:lang w:val="en-US"/>
        </w:rPr>
        <w:t>subscription/fees</w:t>
      </w:r>
    </w:p>
    <w:p w14:paraId="17ECFD8C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color w:val="000000"/>
          <w:sz w:val="20"/>
          <w:szCs w:val="20"/>
          <w:lang w:val="en-US"/>
        </w:rPr>
        <w:t>Rates for subscription/membership</w:t>
      </w:r>
    </w:p>
    <w:p w14:paraId="79C7A57E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color w:val="000000"/>
          <w:sz w:val="20"/>
          <w:szCs w:val="20"/>
          <w:lang w:val="en-US"/>
        </w:rPr>
        <w:t>Format for quarterly and annual financial reports</w:t>
      </w:r>
    </w:p>
    <w:p w14:paraId="7B24D778" w14:textId="77777777" w:rsidR="0019062F" w:rsidRPr="0019062F" w:rsidRDefault="0019062F" w:rsidP="0019062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  <w:lang w:val="en-US"/>
        </w:rPr>
      </w:pPr>
      <w:r w:rsidRPr="001906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• </w:t>
      </w:r>
      <w:r w:rsidRPr="0019062F">
        <w:rPr>
          <w:rFonts w:ascii="Roboto-Regular" w:hAnsi="Roboto-Regular" w:cs="Roboto-Regular"/>
          <w:color w:val="000000"/>
          <w:sz w:val="20"/>
          <w:szCs w:val="20"/>
          <w:lang w:val="en-US"/>
        </w:rPr>
        <w:t>Responses to requests for subscription/fee relief</w:t>
      </w:r>
    </w:p>
    <w:p w14:paraId="4F6B0ACF" w14:textId="77777777" w:rsidR="0019062F" w:rsidRDefault="0019062F" w:rsidP="0019062F">
      <w:r>
        <w:rPr>
          <w:rFonts w:ascii="Helvetica" w:hAnsi="Helvetica" w:cs="Helvetica"/>
          <w:color w:val="000000"/>
          <w:sz w:val="20"/>
          <w:szCs w:val="20"/>
        </w:rPr>
        <w:t xml:space="preserve">• </w:t>
      </w:r>
      <w:r>
        <w:rPr>
          <w:rFonts w:ascii="Roboto-Regular" w:hAnsi="Roboto-Regular" w:cs="Roboto-Regular"/>
          <w:color w:val="000000"/>
          <w:sz w:val="20"/>
          <w:szCs w:val="20"/>
        </w:rPr>
        <w:t>Acknowledgment of fee relief provided</w:t>
      </w:r>
    </w:p>
    <w:sectPr w:rsidR="0019062F" w:rsidSect="002F1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Roboto"/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Italic">
    <w:altName w:val="Roboto"/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BoldItalic">
    <w:altName w:val="Calibri"/>
    <w:panose1 w:val="020B0803020202090204"/>
    <w:charset w:val="00"/>
    <w:family w:val="swiss"/>
    <w:notTrueType/>
    <w:pitch w:val="default"/>
    <w:sig w:usb0="00000003" w:usb1="00000000" w:usb2="00000000" w:usb3="00000000" w:csb0="00000001" w:csb1="00000000"/>
  </w:font>
  <w:font w:name="RobotoCondensed-Light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2F"/>
    <w:rsid w:val="0019062F"/>
    <w:rsid w:val="002F121A"/>
    <w:rsid w:val="00651BBE"/>
    <w:rsid w:val="007456D2"/>
    <w:rsid w:val="008D1EB7"/>
    <w:rsid w:val="00E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C069"/>
  <w15:docId w15:val="{88BD9A1A-AE63-BF4E-939B-C8EFA59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Robin Pascoe</cp:lastModifiedBy>
  <cp:revision>2</cp:revision>
  <dcterms:created xsi:type="dcterms:W3CDTF">2020-10-25T00:26:00Z</dcterms:created>
  <dcterms:modified xsi:type="dcterms:W3CDTF">2020-10-25T00:26:00Z</dcterms:modified>
</cp:coreProperties>
</file>